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9B" w:rsidRPr="001E2E30" w:rsidRDefault="0058069B" w:rsidP="0058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Форма Ф-101</w:t>
      </w:r>
    </w:p>
    <w:p w:rsidR="0058069B" w:rsidRPr="001E2E30" w:rsidRDefault="0058069B" w:rsidP="0058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30">
        <w:rPr>
          <w:rFonts w:ascii="Times New Roman" w:hAnsi="Times New Roman"/>
          <w:b/>
          <w:sz w:val="24"/>
          <w:szCs w:val="24"/>
        </w:rPr>
        <w:t>Состав информации по абонентской карточке абонента.</w:t>
      </w:r>
    </w:p>
    <w:p w:rsidR="00437CB4" w:rsidRPr="001E2E30" w:rsidRDefault="00437CB4" w:rsidP="0058069B">
      <w:pPr>
        <w:pStyle w:val="a5"/>
        <w:rPr>
          <w:sz w:val="24"/>
          <w:szCs w:val="24"/>
        </w:rPr>
      </w:pPr>
    </w:p>
    <w:p w:rsidR="0056707C" w:rsidRPr="001E2E30" w:rsidRDefault="0056707C" w:rsidP="0056707C">
      <w:pPr>
        <w:pStyle w:val="2"/>
        <w:spacing w:before="0" w:line="360" w:lineRule="auto"/>
        <w:rPr>
          <w:color w:val="auto"/>
          <w:sz w:val="24"/>
          <w:szCs w:val="24"/>
        </w:rPr>
      </w:pPr>
      <w:bookmarkStart w:id="0" w:name="_Toc428354154"/>
      <w:r w:rsidRPr="001E2E30">
        <w:rPr>
          <w:color w:val="auto"/>
          <w:sz w:val="24"/>
          <w:szCs w:val="24"/>
        </w:rPr>
        <w:t>Основные понятия</w:t>
      </w:r>
      <w:bookmarkEnd w:id="0"/>
    </w:p>
    <w:p w:rsidR="0056707C" w:rsidRPr="001E2E30" w:rsidRDefault="0056707C" w:rsidP="0056707C">
      <w:pPr>
        <w:spacing w:after="0" w:line="360" w:lineRule="auto"/>
        <w:ind w:firstLine="709"/>
        <w:rPr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На рисунке 1 представлена общая схема организации взаимодействия между основными объектами учета в программном комплексе «Теплосеть: Расчеты с юридическими лицами».</w:t>
      </w:r>
    </w:p>
    <w:p w:rsidR="0056707C" w:rsidRPr="001E2E30" w:rsidRDefault="0056707C" w:rsidP="0056707C">
      <w:pPr>
        <w:spacing w:after="0" w:line="360" w:lineRule="auto"/>
        <w:jc w:val="center"/>
        <w:rPr>
          <w:sz w:val="24"/>
          <w:szCs w:val="24"/>
        </w:rPr>
      </w:pPr>
      <w:r w:rsidRPr="001E2E30">
        <w:rPr>
          <w:sz w:val="24"/>
          <w:szCs w:val="24"/>
        </w:rPr>
        <w:object w:dxaOrig="16334" w:dyaOrig="12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7pt" o:ole="">
            <v:imagedata r:id="rId8" o:title="" croptop="9125f"/>
          </v:shape>
          <o:OLEObject Type="Embed" ProgID="Visio.Drawing.11" ShapeID="_x0000_i1025" DrawAspect="Content" ObjectID="_1502100549" r:id="rId9"/>
        </w:objec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юридическое лицо или индивидуальный предприниматель, с которым заключен договор на оказание услуг теплоснабжения, подогрева воды и др. с коммунальной теплоэнергетической организацией.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это соглашение между Контрагентом и коммунальной теплоэнергетической организацией об оказании услуг теплоснабжения (подогрева воды и др.). Все взаиморасчеты с контрагентом ведутся с детализацией до договора, т.е. задолженность ведется в разрезе договоров.</w:t>
      </w:r>
    </w:p>
    <w:p w:rsidR="0056707C" w:rsidRPr="001E2E30" w:rsidRDefault="0056707C" w:rsidP="00567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 У контрагента может быть несколько действующих договоров по разным услугам, но по одной услуге может быть только один договор, с определенным составом объектов. Состав объектов по договорам не может пересекаться. </w:t>
      </w:r>
    </w:p>
    <w:p w:rsidR="0056707C" w:rsidRPr="001E2E30" w:rsidRDefault="0056707C" w:rsidP="00567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На рисунке 2 представлен пример правильного распределения по договорам.</w:t>
      </w:r>
    </w:p>
    <w:p w:rsidR="0056707C" w:rsidRPr="001E2E30" w:rsidRDefault="0056707C" w:rsidP="0056707C">
      <w:pPr>
        <w:keepNext/>
        <w:spacing w:after="0" w:line="360" w:lineRule="auto"/>
        <w:ind w:firstLine="708"/>
        <w:jc w:val="center"/>
        <w:rPr>
          <w:sz w:val="24"/>
          <w:szCs w:val="24"/>
        </w:rPr>
      </w:pPr>
      <w:r w:rsidRPr="001E2E30">
        <w:rPr>
          <w:sz w:val="24"/>
          <w:szCs w:val="24"/>
        </w:rPr>
        <w:object w:dxaOrig="9090" w:dyaOrig="6177">
          <v:shape id="_x0000_i1026" type="#_x0000_t75" style="width:454.8pt;height:308.4pt" o:ole="">
            <v:imagedata r:id="rId10" o:title=""/>
          </v:shape>
          <o:OLEObject Type="Embed" ProgID="Visio.Drawing.11" ShapeID="_x0000_i1026" DrawAspect="Content" ObjectID="_1502100550" r:id="rId11"/>
        </w:object>
      </w:r>
    </w:p>
    <w:p w:rsidR="0056707C" w:rsidRPr="001E2E30" w:rsidRDefault="0056707C" w:rsidP="0056707C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2E30">
        <w:rPr>
          <w:color w:val="auto"/>
          <w:sz w:val="24"/>
          <w:szCs w:val="24"/>
        </w:rPr>
        <w:t xml:space="preserve">Рисунок </w:t>
      </w:r>
      <w:r w:rsidRPr="001E2E30">
        <w:rPr>
          <w:color w:val="auto"/>
          <w:sz w:val="24"/>
          <w:szCs w:val="24"/>
        </w:rPr>
        <w:fldChar w:fldCharType="begin"/>
      </w:r>
      <w:r w:rsidRPr="001E2E30">
        <w:rPr>
          <w:color w:val="auto"/>
          <w:sz w:val="24"/>
          <w:szCs w:val="24"/>
        </w:rPr>
        <w:instrText xml:space="preserve"> SEQ Рисунок \* ARABIC </w:instrText>
      </w:r>
      <w:r w:rsidRPr="001E2E30">
        <w:rPr>
          <w:color w:val="auto"/>
          <w:sz w:val="24"/>
          <w:szCs w:val="24"/>
        </w:rPr>
        <w:fldChar w:fldCharType="separate"/>
      </w:r>
      <w:r w:rsidRPr="001E2E30">
        <w:rPr>
          <w:noProof/>
          <w:color w:val="auto"/>
          <w:sz w:val="24"/>
          <w:szCs w:val="24"/>
        </w:rPr>
        <w:t>1</w:t>
      </w:r>
      <w:r w:rsidRPr="001E2E30">
        <w:rPr>
          <w:noProof/>
          <w:color w:val="auto"/>
          <w:sz w:val="24"/>
          <w:szCs w:val="24"/>
        </w:rPr>
        <w:fldChar w:fldCharType="end"/>
      </w:r>
      <w:r w:rsidRPr="001E2E30">
        <w:rPr>
          <w:color w:val="auto"/>
          <w:sz w:val="24"/>
          <w:szCs w:val="24"/>
        </w:rPr>
        <w:t xml:space="preserve"> – Схема договора</w:t>
      </w:r>
    </w:p>
    <w:p w:rsidR="0056707C" w:rsidRPr="001E2E30" w:rsidRDefault="0056707C" w:rsidP="00567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На рисунке 2 представлен пример неправильного распределения по договорам.</w:t>
      </w:r>
    </w:p>
    <w:p w:rsidR="0056707C" w:rsidRPr="001E2E30" w:rsidRDefault="0056707C" w:rsidP="0056707C">
      <w:pPr>
        <w:keepNext/>
        <w:spacing w:after="0" w:line="360" w:lineRule="auto"/>
        <w:jc w:val="center"/>
        <w:rPr>
          <w:sz w:val="24"/>
          <w:szCs w:val="24"/>
        </w:rPr>
      </w:pPr>
      <w:r w:rsidRPr="001E2E30">
        <w:rPr>
          <w:sz w:val="24"/>
          <w:szCs w:val="24"/>
        </w:rPr>
        <w:object w:dxaOrig="13509" w:dyaOrig="3119">
          <v:shape id="_x0000_i1027" type="#_x0000_t75" style="width:466.2pt;height:108pt" o:ole="">
            <v:imagedata r:id="rId12" o:title=""/>
          </v:shape>
          <o:OLEObject Type="Embed" ProgID="Visio.Drawing.11" ShapeID="_x0000_i1027" DrawAspect="Content" ObjectID="_1502100551" r:id="rId13"/>
        </w:object>
      </w:r>
    </w:p>
    <w:p w:rsidR="0056707C" w:rsidRPr="001E2E30" w:rsidRDefault="0056707C" w:rsidP="0056707C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2E30">
        <w:rPr>
          <w:color w:val="auto"/>
          <w:sz w:val="24"/>
          <w:szCs w:val="24"/>
        </w:rPr>
        <w:t xml:space="preserve">Рисунок </w:t>
      </w:r>
      <w:r w:rsidRPr="001E2E30">
        <w:rPr>
          <w:color w:val="auto"/>
          <w:sz w:val="24"/>
          <w:szCs w:val="24"/>
        </w:rPr>
        <w:fldChar w:fldCharType="begin"/>
      </w:r>
      <w:r w:rsidRPr="001E2E30">
        <w:rPr>
          <w:color w:val="auto"/>
          <w:sz w:val="24"/>
          <w:szCs w:val="24"/>
        </w:rPr>
        <w:instrText xml:space="preserve"> SEQ Рисунок \* ARABIC </w:instrText>
      </w:r>
      <w:r w:rsidRPr="001E2E30">
        <w:rPr>
          <w:color w:val="auto"/>
          <w:sz w:val="24"/>
          <w:szCs w:val="24"/>
        </w:rPr>
        <w:fldChar w:fldCharType="separate"/>
      </w:r>
      <w:r w:rsidRPr="001E2E30">
        <w:rPr>
          <w:noProof/>
          <w:color w:val="auto"/>
          <w:sz w:val="24"/>
          <w:szCs w:val="24"/>
        </w:rPr>
        <w:t>2</w:t>
      </w:r>
      <w:r w:rsidRPr="001E2E30">
        <w:rPr>
          <w:noProof/>
          <w:color w:val="auto"/>
          <w:sz w:val="24"/>
          <w:szCs w:val="24"/>
        </w:rPr>
        <w:fldChar w:fldCharType="end"/>
      </w:r>
      <w:r w:rsidRPr="001E2E30">
        <w:rPr>
          <w:color w:val="auto"/>
          <w:sz w:val="24"/>
          <w:szCs w:val="24"/>
        </w:rPr>
        <w:t xml:space="preserve"> - Некорректная схема договора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В договоре, помимо прав и обязанностей сторон, должны быть указаны следующие данные. </w:t>
      </w:r>
    </w:p>
    <w:p w:rsidR="0056707C" w:rsidRPr="001E2E30" w:rsidRDefault="0056707C" w:rsidP="0056707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Услуга (услуги), предоставляемая контрагенту. Услуги, по которым могут вестись начисления</w:t>
      </w:r>
      <w:r w:rsidR="00565546" w:rsidRPr="001E2E30">
        <w:rPr>
          <w:rFonts w:ascii="Times New Roman" w:hAnsi="Times New Roman" w:cs="Times New Roman"/>
          <w:sz w:val="24"/>
          <w:szCs w:val="24"/>
        </w:rPr>
        <w:t xml:space="preserve"> делятся на виды услуг</w:t>
      </w:r>
      <w:r w:rsidRPr="001E2E30">
        <w:rPr>
          <w:rFonts w:ascii="Times New Roman" w:hAnsi="Times New Roman" w:cs="Times New Roman"/>
          <w:sz w:val="24"/>
          <w:szCs w:val="24"/>
        </w:rPr>
        <w:t>: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Отопление;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Подогрев; 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Холодное водоснабжение; 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Потери (с разбивкой по видам потерь).</w:t>
      </w:r>
    </w:p>
    <w:p w:rsidR="00A30B24" w:rsidRPr="001E2E30" w:rsidRDefault="00A30B24" w:rsidP="0056554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Список услуг может </w:t>
      </w:r>
      <w:r w:rsidR="00565546" w:rsidRPr="001E2E30">
        <w:rPr>
          <w:rFonts w:ascii="Times New Roman" w:hAnsi="Times New Roman" w:cs="Times New Roman"/>
          <w:sz w:val="24"/>
          <w:szCs w:val="24"/>
        </w:rPr>
        <w:t>б</w:t>
      </w:r>
      <w:r w:rsidRPr="001E2E30">
        <w:rPr>
          <w:rFonts w:ascii="Times New Roman" w:hAnsi="Times New Roman" w:cs="Times New Roman"/>
          <w:sz w:val="24"/>
          <w:szCs w:val="24"/>
        </w:rPr>
        <w:t>ыть рас</w:t>
      </w:r>
      <w:r w:rsidR="00565546" w:rsidRPr="001E2E30">
        <w:rPr>
          <w:rFonts w:ascii="Times New Roman" w:hAnsi="Times New Roman" w:cs="Times New Roman"/>
          <w:sz w:val="24"/>
          <w:szCs w:val="24"/>
        </w:rPr>
        <w:t>ширен.</w:t>
      </w:r>
    </w:p>
    <w:p w:rsidR="0056707C" w:rsidRPr="001E2E30" w:rsidRDefault="0056707C" w:rsidP="005670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lastRenderedPageBreak/>
        <w:t>Перечень объектов, которым оказывается услуга (услуги) с указанием границы балансовой принадлежности.</w:t>
      </w:r>
    </w:p>
    <w:p w:rsidR="0056707C" w:rsidRPr="001E2E30" w:rsidRDefault="0056707C" w:rsidP="005670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Способ расчета плановых начислений для каждого объекта. Предусмотрены следующие способы начислений: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По проектной часовой нагрузке;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По площади поверхности отопительного прибора;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По площади поверхности ограждения;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По площади помещения;</w:t>
      </w:r>
    </w:p>
    <w:p w:rsidR="0056707C" w:rsidRPr="001E2E30" w:rsidRDefault="0056707C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По объему помещения.</w:t>
      </w:r>
    </w:p>
    <w:p w:rsidR="00565546" w:rsidRPr="001E2E30" w:rsidRDefault="00565546" w:rsidP="0056707C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По нормативам воды (горячей)</w:t>
      </w:r>
    </w:p>
    <w:p w:rsidR="0056707C" w:rsidRPr="001E2E30" w:rsidRDefault="0056707C" w:rsidP="005670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Расчет планового расхода по услуге по объектам помесячно с уче</w:t>
      </w:r>
      <w:r w:rsidR="00565546" w:rsidRPr="001E2E30">
        <w:rPr>
          <w:rFonts w:ascii="Times New Roman" w:hAnsi="Times New Roman" w:cs="Times New Roman"/>
          <w:sz w:val="24"/>
          <w:szCs w:val="24"/>
        </w:rPr>
        <w:t>том температурных коэффициентов;</w:t>
      </w:r>
    </w:p>
    <w:p w:rsidR="0056707C" w:rsidRPr="001E2E30" w:rsidRDefault="0056707C" w:rsidP="005670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График поставок по услугам, с указанием плановых объемов поставок и сумм платежей, за обоз</w:t>
      </w:r>
      <w:r w:rsidR="00565546" w:rsidRPr="001E2E30">
        <w:rPr>
          <w:rFonts w:ascii="Times New Roman" w:hAnsi="Times New Roman" w:cs="Times New Roman"/>
          <w:sz w:val="24"/>
          <w:szCs w:val="24"/>
        </w:rPr>
        <w:t>наченные поставки;</w:t>
      </w:r>
      <w:r w:rsidRPr="001E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7C" w:rsidRPr="001E2E30" w:rsidRDefault="0056707C" w:rsidP="005670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Расчет плановых потерь на теплотрассах помесячно с учетом температурных   коэффициентов</w:t>
      </w:r>
      <w:r w:rsidR="00565546" w:rsidRPr="001E2E30">
        <w:rPr>
          <w:rFonts w:ascii="Times New Roman" w:hAnsi="Times New Roman" w:cs="Times New Roman"/>
          <w:sz w:val="24"/>
          <w:szCs w:val="24"/>
        </w:rPr>
        <w:t xml:space="preserve"> (может не указываться, если учет потерь не ведётся);</w:t>
      </w:r>
    </w:p>
    <w:p w:rsidR="0056707C" w:rsidRPr="001E2E30" w:rsidRDefault="0056707C" w:rsidP="005670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Распределение плановых потерь на теплотрассах между группой потребителей по различным уча</w:t>
      </w:r>
      <w:r w:rsidR="00565546" w:rsidRPr="001E2E30">
        <w:rPr>
          <w:rFonts w:ascii="Times New Roman" w:hAnsi="Times New Roman" w:cs="Times New Roman"/>
          <w:sz w:val="24"/>
          <w:szCs w:val="24"/>
        </w:rPr>
        <w:t>сткам теплотрассы (может не указываться, если учет потерь не ведётся)</w:t>
      </w:r>
      <w:r w:rsidRPr="001E2E30">
        <w:rPr>
          <w:rFonts w:ascii="Times New Roman" w:hAnsi="Times New Roman" w:cs="Times New Roman"/>
          <w:sz w:val="24"/>
          <w:szCs w:val="24"/>
        </w:rPr>
        <w:t>.</w:t>
      </w:r>
    </w:p>
    <w:p w:rsidR="0056707C" w:rsidRPr="001E2E30" w:rsidRDefault="0056707C" w:rsidP="0056707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В зависимости от этапа работы с договором, ему назначается статус. Состав статусов может расширяться, предварительно он будет следующим:</w:t>
      </w:r>
    </w:p>
    <w:p w:rsidR="0056707C" w:rsidRPr="001E2E30" w:rsidRDefault="0056707C" w:rsidP="0056707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Новый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для договоров на этапе подготовки документов (например, контрагент написал заявление на подключение отопления);</w:t>
      </w:r>
    </w:p>
    <w:p w:rsidR="0056707C" w:rsidRPr="001E2E30" w:rsidRDefault="0056707C" w:rsidP="0056707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Подготовка плановых расчетов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по договору производится расчет плановых потреблений по услугам, расчет плановых потерь;</w:t>
      </w:r>
    </w:p>
    <w:p w:rsidR="0056707C" w:rsidRPr="001E2E30" w:rsidRDefault="0056707C" w:rsidP="0056707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На рассмотрении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данные договора проверяются и уточняются специализируемых отделов;</w:t>
      </w:r>
    </w:p>
    <w:p w:rsidR="0056707C" w:rsidRPr="001E2E30" w:rsidRDefault="0056707C" w:rsidP="0056707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Заключен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договор подписан и вступил в силу;</w:t>
      </w:r>
    </w:p>
    <w:p w:rsidR="0056707C" w:rsidRPr="001E2E30" w:rsidRDefault="0056707C" w:rsidP="0056707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Расторгнут/не ведутся начисления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договор расторгнут (с указанием причины расторжения договора), утратил силу или заключен новый договор, но по предыдущему осталась задолженность.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Для автоматического расчета планового потребления по услугам и планового начисления потерь требуется </w:t>
      </w:r>
      <w:r w:rsidR="00565546" w:rsidRPr="001E2E30">
        <w:rPr>
          <w:rFonts w:ascii="Times New Roman" w:hAnsi="Times New Roman" w:cs="Times New Roman"/>
          <w:sz w:val="24"/>
          <w:szCs w:val="24"/>
        </w:rPr>
        <w:t>указывать в договоре все указанные выше параметры.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lastRenderedPageBreak/>
        <w:t>Объект</w:t>
      </w:r>
      <w:r w:rsidRPr="001E2E30">
        <w:rPr>
          <w:rFonts w:ascii="Times New Roman" w:hAnsi="Times New Roman" w:cs="Times New Roman"/>
          <w:sz w:val="24"/>
          <w:szCs w:val="24"/>
        </w:rPr>
        <w:t xml:space="preserve"> - строение, часть здания принадлежащая юридическому лицу или ИП, которому оказываются услуги по теплоснабжению (подогреву воды и др.), на основании действующего договора. У контрагента может быть неограниченное количество объектов. 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 создании объекта вводится информация об объекте по данным его инвентарного паспорта, климатологическим справочникам и т.д. А именно:</w:t>
      </w:r>
    </w:p>
    <w:p w:rsidR="0056707C" w:rsidRPr="001E2E30" w:rsidRDefault="00BE72FE" w:rsidP="005670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65546" w:rsidRPr="001E2E30">
        <w:rPr>
          <w:rFonts w:ascii="Times New Roman" w:hAnsi="Times New Roman" w:cs="Times New Roman"/>
          <w:sz w:val="24"/>
          <w:szCs w:val="24"/>
        </w:rPr>
        <w:t xml:space="preserve">и </w:t>
      </w:r>
      <w:r w:rsidR="0056707C" w:rsidRPr="001E2E30">
        <w:rPr>
          <w:rFonts w:ascii="Times New Roman" w:hAnsi="Times New Roman" w:cs="Times New Roman"/>
          <w:sz w:val="24"/>
          <w:szCs w:val="24"/>
        </w:rPr>
        <w:t>площадь помещения согласно инвентарному паспорту;</w:t>
      </w:r>
    </w:p>
    <w:p w:rsidR="0056707C" w:rsidRPr="001E2E30" w:rsidRDefault="0056707C" w:rsidP="005670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Проектная часовая нагрузка;</w:t>
      </w:r>
    </w:p>
    <w:p w:rsidR="0056707C" w:rsidRPr="001E2E30" w:rsidRDefault="0056707C" w:rsidP="005670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Удельная отопительная характеристика объекта;</w:t>
      </w:r>
    </w:p>
    <w:p w:rsidR="0056707C" w:rsidRPr="001E2E30" w:rsidRDefault="0056707C" w:rsidP="005670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Назначение объекта;</w:t>
      </w:r>
    </w:p>
    <w:p w:rsidR="0056707C" w:rsidRPr="001E2E30" w:rsidRDefault="0056707C" w:rsidP="005670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Вид подключения к тепловой сети;</w:t>
      </w:r>
    </w:p>
    <w:p w:rsidR="0056707C" w:rsidRPr="001E2E30" w:rsidRDefault="0056707C" w:rsidP="005670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Климатическая зона;</w:t>
      </w:r>
    </w:p>
    <w:p w:rsidR="0056707C" w:rsidRPr="001E2E30" w:rsidRDefault="0056707C" w:rsidP="005670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Котельная (котельные), к которым подключен объект.</w:t>
      </w:r>
    </w:p>
    <w:p w:rsidR="00A30B24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Один объект может быть задействован в нескольких договорах, в зависимости от того, в каком договоре указан объект, у него будет активна та или иная услуга</w:t>
      </w:r>
    </w:p>
    <w:p w:rsidR="0056707C" w:rsidRPr="001E2E30" w:rsidRDefault="0056707C" w:rsidP="0056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Начисления производится по каждо</w:t>
      </w:r>
      <w:r w:rsidR="00A30B24" w:rsidRPr="001E2E30">
        <w:rPr>
          <w:rFonts w:ascii="Times New Roman" w:hAnsi="Times New Roman" w:cs="Times New Roman"/>
          <w:sz w:val="24"/>
          <w:szCs w:val="24"/>
        </w:rPr>
        <w:t>й подключенной</w:t>
      </w:r>
      <w:r w:rsidRPr="001E2E30">
        <w:rPr>
          <w:rFonts w:ascii="Times New Roman" w:hAnsi="Times New Roman" w:cs="Times New Roman"/>
          <w:sz w:val="24"/>
          <w:szCs w:val="24"/>
        </w:rPr>
        <w:t xml:space="preserve"> </w:t>
      </w:r>
      <w:r w:rsidR="00A30B24" w:rsidRPr="001E2E30">
        <w:rPr>
          <w:rFonts w:ascii="Times New Roman" w:hAnsi="Times New Roman" w:cs="Times New Roman"/>
          <w:sz w:val="24"/>
          <w:szCs w:val="24"/>
        </w:rPr>
        <w:t>услуге</w:t>
      </w:r>
      <w:r w:rsidRPr="001E2E30">
        <w:rPr>
          <w:rFonts w:ascii="Times New Roman" w:hAnsi="Times New Roman" w:cs="Times New Roman"/>
          <w:sz w:val="24"/>
          <w:szCs w:val="24"/>
        </w:rPr>
        <w:t>. Начисления могут производиться:</w:t>
      </w:r>
    </w:p>
    <w:p w:rsidR="0056707C" w:rsidRPr="001E2E30" w:rsidRDefault="0056707C" w:rsidP="0056707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 показаниям прибора учета;</w:t>
      </w:r>
    </w:p>
    <w:p w:rsidR="0056707C" w:rsidRPr="001E2E30" w:rsidRDefault="0056707C" w:rsidP="0056707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 нормативу (по указанным в договоре плановым начислением);</w:t>
      </w:r>
    </w:p>
    <w:p w:rsidR="0056707C" w:rsidRPr="001E2E30" w:rsidRDefault="0056707C" w:rsidP="0056707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 среднему потреблению</w:t>
      </w:r>
      <w:r w:rsidR="00A30B24" w:rsidRPr="001E2E30">
        <w:rPr>
          <w:rFonts w:ascii="Times New Roman" w:hAnsi="Times New Roman" w:cs="Times New Roman"/>
          <w:sz w:val="24"/>
          <w:szCs w:val="24"/>
        </w:rPr>
        <w:t>;</w:t>
      </w:r>
      <w:r w:rsidRPr="001E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46" w:rsidRPr="001E2E30" w:rsidRDefault="00565546" w:rsidP="0056554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 общедомовому прибору учета</w:t>
      </w:r>
    </w:p>
    <w:p w:rsidR="00A30B24" w:rsidRPr="001E2E30" w:rsidRDefault="00A30B24" w:rsidP="0056707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 общедомовым нормативам</w:t>
      </w:r>
      <w:r w:rsidR="00565546" w:rsidRPr="001E2E30">
        <w:rPr>
          <w:rFonts w:ascii="Times New Roman" w:hAnsi="Times New Roman" w:cs="Times New Roman"/>
          <w:sz w:val="24"/>
          <w:szCs w:val="24"/>
        </w:rPr>
        <w:t xml:space="preserve"> на площадь общего имущества</w:t>
      </w:r>
      <w:r w:rsidRPr="001E2E30">
        <w:rPr>
          <w:rFonts w:ascii="Times New Roman" w:hAnsi="Times New Roman" w:cs="Times New Roman"/>
          <w:sz w:val="24"/>
          <w:szCs w:val="24"/>
        </w:rPr>
        <w:t>;</w:t>
      </w:r>
    </w:p>
    <w:p w:rsidR="00A30B24" w:rsidRPr="001E2E30" w:rsidRDefault="00A30B24" w:rsidP="00A30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 установки прибора учета обязательно указание ввода (места установки), на котором он установлен.</w:t>
      </w:r>
    </w:p>
    <w:p w:rsidR="0056707C" w:rsidRPr="001E2E30" w:rsidRDefault="00A30B24" w:rsidP="00A30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Ввод (место установки прибора учета)</w:t>
      </w:r>
      <w:r w:rsidRPr="001E2E30">
        <w:rPr>
          <w:rFonts w:ascii="Times New Roman" w:hAnsi="Times New Roman" w:cs="Times New Roman"/>
          <w:sz w:val="24"/>
          <w:szCs w:val="24"/>
        </w:rPr>
        <w:t xml:space="preserve"> – точка подключения объекта к тепловой сети (сети водоснабжения).  У объекта может быть неограниченное количество вводов. Е</w:t>
      </w:r>
      <w:r w:rsidR="0056707C" w:rsidRPr="001E2E30">
        <w:rPr>
          <w:rFonts w:ascii="Times New Roman" w:hAnsi="Times New Roman" w:cs="Times New Roman"/>
          <w:sz w:val="24"/>
          <w:szCs w:val="24"/>
        </w:rPr>
        <w:t xml:space="preserve">сли прибора учета нет – начисление будет вестись по плановым начислениям согласно договору. </w:t>
      </w:r>
    </w:p>
    <w:p w:rsidR="0056707C" w:rsidRPr="001E2E30" w:rsidRDefault="0056707C" w:rsidP="0056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>Прибор учета</w:t>
      </w:r>
      <w:r w:rsidR="00565546" w:rsidRPr="001E2E30">
        <w:rPr>
          <w:rFonts w:ascii="Times New Roman" w:hAnsi="Times New Roman" w:cs="Times New Roman"/>
          <w:b/>
          <w:sz w:val="24"/>
          <w:szCs w:val="24"/>
        </w:rPr>
        <w:t xml:space="preserve"> (узел учета)</w:t>
      </w:r>
      <w:r w:rsidRPr="001E2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30">
        <w:rPr>
          <w:rFonts w:ascii="Times New Roman" w:hAnsi="Times New Roman" w:cs="Times New Roman"/>
          <w:sz w:val="24"/>
          <w:szCs w:val="24"/>
        </w:rPr>
        <w:t xml:space="preserve">– средство измерения, используемое для определения фактических объемов потребления по услуге. </w:t>
      </w:r>
    </w:p>
    <w:p w:rsidR="0056707C" w:rsidRPr="001E2E30" w:rsidRDefault="0056707C" w:rsidP="0056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Прибор учета характеризуется следующими параметрами:</w:t>
      </w:r>
    </w:p>
    <w:p w:rsidR="0056707C" w:rsidRPr="001E2E30" w:rsidRDefault="0056707C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Состояние;</w:t>
      </w:r>
    </w:p>
    <w:p w:rsidR="0056707C" w:rsidRPr="001E2E30" w:rsidRDefault="0056707C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Модель;</w:t>
      </w:r>
    </w:p>
    <w:p w:rsidR="0056707C" w:rsidRPr="001E2E30" w:rsidRDefault="0056707C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Заводской номер;</w:t>
      </w:r>
    </w:p>
    <w:p w:rsidR="0056707C" w:rsidRPr="001E2E30" w:rsidRDefault="0056707C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Дата поверки;</w:t>
      </w:r>
    </w:p>
    <w:p w:rsidR="0056707C" w:rsidRPr="001E2E30" w:rsidRDefault="00A30B24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lastRenderedPageBreak/>
        <w:t>Ввод (</w:t>
      </w:r>
      <w:r w:rsidR="0056707C" w:rsidRPr="001E2E30">
        <w:rPr>
          <w:rFonts w:ascii="Times New Roman" w:hAnsi="Times New Roman" w:cs="Times New Roman"/>
          <w:sz w:val="24"/>
          <w:szCs w:val="24"/>
        </w:rPr>
        <w:t>Место установки</w:t>
      </w:r>
      <w:r w:rsidRPr="001E2E30">
        <w:rPr>
          <w:rFonts w:ascii="Times New Roman" w:hAnsi="Times New Roman" w:cs="Times New Roman"/>
          <w:sz w:val="24"/>
          <w:szCs w:val="24"/>
        </w:rPr>
        <w:t>)</w:t>
      </w:r>
      <w:r w:rsidR="0056707C" w:rsidRPr="001E2E30">
        <w:rPr>
          <w:rFonts w:ascii="Times New Roman" w:hAnsi="Times New Roman" w:cs="Times New Roman"/>
          <w:sz w:val="24"/>
          <w:szCs w:val="24"/>
        </w:rPr>
        <w:t>;</w:t>
      </w:r>
    </w:p>
    <w:p w:rsidR="0056707C" w:rsidRPr="001E2E30" w:rsidRDefault="0056707C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Признак наличия таймера;</w:t>
      </w:r>
    </w:p>
    <w:p w:rsidR="0056707C" w:rsidRPr="001E2E30" w:rsidRDefault="0056707C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Показания;</w:t>
      </w:r>
    </w:p>
    <w:p w:rsidR="00A30B24" w:rsidRPr="001E2E30" w:rsidRDefault="0056707C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Информация об установленных пломбах</w:t>
      </w:r>
      <w:r w:rsidR="00A30B24" w:rsidRPr="001E2E30">
        <w:rPr>
          <w:rFonts w:ascii="Times New Roman" w:hAnsi="Times New Roman" w:cs="Times New Roman"/>
          <w:sz w:val="24"/>
          <w:szCs w:val="24"/>
        </w:rPr>
        <w:t>;</w:t>
      </w:r>
    </w:p>
    <w:p w:rsidR="00A30B24" w:rsidRPr="001E2E30" w:rsidRDefault="00A30B24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Погрешность;</w:t>
      </w:r>
    </w:p>
    <w:p w:rsidR="0056707C" w:rsidRPr="001E2E30" w:rsidRDefault="00A30B24" w:rsidP="0056707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Ряд дополнительных характеристик (объем и температура на подаче и </w:t>
      </w:r>
      <w:proofErr w:type="spellStart"/>
      <w:r w:rsidRPr="001E2E30"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 w:rsidRPr="001E2E30">
        <w:rPr>
          <w:rFonts w:ascii="Times New Roman" w:hAnsi="Times New Roman" w:cs="Times New Roman"/>
          <w:sz w:val="24"/>
          <w:szCs w:val="24"/>
        </w:rPr>
        <w:t xml:space="preserve"> и др.)</w:t>
      </w:r>
      <w:r w:rsidR="0056707C" w:rsidRPr="001E2E30">
        <w:rPr>
          <w:rFonts w:ascii="Times New Roman" w:hAnsi="Times New Roman" w:cs="Times New Roman"/>
          <w:sz w:val="24"/>
          <w:szCs w:val="24"/>
        </w:rPr>
        <w:t>.</w:t>
      </w:r>
    </w:p>
    <w:p w:rsidR="00565546" w:rsidRPr="001E2E30" w:rsidRDefault="00565546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46" w:rsidRPr="001E2E30" w:rsidRDefault="00565546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46" w:rsidRPr="001E2E30" w:rsidRDefault="00565546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Прибор учета или узел учета может состоять из нескольких видов измерительного оборудования (расходомеры, термопары и прочее), у которого также имеются свои пломбы и даты поверок.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На одном вводе может быть только один прибор учета. При подключении прибора учета вид начисления меняется с нормативного на начисления по показаниям прибора учета. 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В случае снятия на поверку (поломки) прибора учета, фиксируется соответствующим документом, в котором предусмотрен выбор применяемого вида начислений: по среднему потреблению или по нормативу.</w:t>
      </w:r>
    </w:p>
    <w:p w:rsidR="0056707C" w:rsidRPr="001F740E" w:rsidRDefault="001F740E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0E">
        <w:rPr>
          <w:rFonts w:ascii="Times New Roman" w:hAnsi="Times New Roman" w:cs="Times New Roman"/>
          <w:sz w:val="24"/>
          <w:szCs w:val="24"/>
        </w:rPr>
        <w:t>Также возможно опциональное применение механизма</w:t>
      </w:r>
      <w:r w:rsidR="0056707C" w:rsidRPr="001F740E">
        <w:rPr>
          <w:rFonts w:ascii="Times New Roman" w:hAnsi="Times New Roman" w:cs="Times New Roman"/>
          <w:sz w:val="24"/>
          <w:szCs w:val="24"/>
        </w:rPr>
        <w:t xml:space="preserve"> «Начислять на весь месяц», позволяющая производить начисления по среднему потреблению за те дни месяца, за которые контрагент не передал показания. При передаче показаний за период, за который в предыдущем учетном месяце было начисление по среднему потреблению в отсутствии показаний, то потребление автоматически сторнируется и проводится начисление по показаниям.</w:t>
      </w:r>
    </w:p>
    <w:p w:rsidR="0056707C" w:rsidRPr="001F740E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0E">
        <w:rPr>
          <w:rFonts w:ascii="Times New Roman" w:hAnsi="Times New Roman" w:cs="Times New Roman"/>
          <w:i/>
          <w:sz w:val="24"/>
          <w:szCs w:val="24"/>
        </w:rPr>
        <w:t>Пример.</w:t>
      </w:r>
      <w:r w:rsidRPr="001F740E">
        <w:rPr>
          <w:rFonts w:ascii="Times New Roman" w:hAnsi="Times New Roman" w:cs="Times New Roman"/>
          <w:sz w:val="24"/>
          <w:szCs w:val="24"/>
        </w:rPr>
        <w:t xml:space="preserve"> Контрагент передает показания тепломера 112 от 25.03.2015, предыдущие показания 12 были переданы 01.03.2015. В марте абоненту будет начислено:</w:t>
      </w:r>
    </w:p>
    <w:p w:rsidR="0056707C" w:rsidRPr="001F740E" w:rsidRDefault="0056707C" w:rsidP="0056707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E">
        <w:rPr>
          <w:rFonts w:ascii="Times New Roman" w:hAnsi="Times New Roman" w:cs="Times New Roman"/>
          <w:sz w:val="24"/>
          <w:szCs w:val="24"/>
        </w:rPr>
        <w:t>За период с 01.03.2015 по 25.03.15 будет начислено 100 Гкал. по показаниям прибора учета;</w:t>
      </w:r>
    </w:p>
    <w:p w:rsidR="0056707C" w:rsidRPr="001F740E" w:rsidRDefault="0056707C" w:rsidP="0056707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E">
        <w:rPr>
          <w:rFonts w:ascii="Times New Roman" w:hAnsi="Times New Roman" w:cs="Times New Roman"/>
          <w:sz w:val="24"/>
          <w:szCs w:val="24"/>
        </w:rPr>
        <w:t>За период с 25.03.2015 по 31.03.15 будет начислено 100/25*6=24 Гкал. по среднему потреблению в отсутствии показаний;</w:t>
      </w:r>
    </w:p>
    <w:p w:rsidR="0056707C" w:rsidRPr="001F740E" w:rsidRDefault="0056707C" w:rsidP="0056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E">
        <w:rPr>
          <w:rFonts w:ascii="Times New Roman" w:hAnsi="Times New Roman" w:cs="Times New Roman"/>
          <w:sz w:val="24"/>
          <w:szCs w:val="24"/>
        </w:rPr>
        <w:t>Следующие показания 172 контрагент передал 30.04.2015. Расчет будет следующим:</w:t>
      </w:r>
    </w:p>
    <w:p w:rsidR="0056707C" w:rsidRPr="001F740E" w:rsidRDefault="0056707C" w:rsidP="0056707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E">
        <w:rPr>
          <w:rFonts w:ascii="Times New Roman" w:hAnsi="Times New Roman" w:cs="Times New Roman"/>
          <w:sz w:val="24"/>
          <w:szCs w:val="24"/>
        </w:rPr>
        <w:t xml:space="preserve">За период с 25.03.2015 по 31.03.15 будет сторнировано начисление по среднему в отсутствии показаний -24 Гкал. </w:t>
      </w:r>
    </w:p>
    <w:p w:rsidR="0056707C" w:rsidRPr="001F740E" w:rsidRDefault="0056707C" w:rsidP="0056707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0E">
        <w:rPr>
          <w:rFonts w:ascii="Times New Roman" w:hAnsi="Times New Roman" w:cs="Times New Roman"/>
          <w:sz w:val="24"/>
          <w:szCs w:val="24"/>
        </w:rPr>
        <w:t>За период с 26.03.2015 по 30.04.15 будет начислено 60 Гкал. по показаниям прибора учета;</w:t>
      </w:r>
    </w:p>
    <w:p w:rsidR="0056707C" w:rsidRPr="001E2E30" w:rsidRDefault="0056707C" w:rsidP="001E2E30">
      <w:pPr>
        <w:pStyle w:val="a3"/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30">
        <w:rPr>
          <w:rFonts w:ascii="Times New Roman" w:hAnsi="Times New Roman" w:cs="Times New Roman"/>
          <w:b/>
          <w:sz w:val="24"/>
          <w:szCs w:val="24"/>
        </w:rPr>
        <w:t xml:space="preserve">Здание – </w:t>
      </w:r>
      <w:r w:rsidRPr="001E2E30">
        <w:rPr>
          <w:rFonts w:ascii="Times New Roman" w:hAnsi="Times New Roman" w:cs="Times New Roman"/>
          <w:sz w:val="24"/>
          <w:szCs w:val="24"/>
        </w:rPr>
        <w:t>сооружение (постройка, дом), объединяющее объекты разных контрагентов, фактически находящихся по одному адресу.</w:t>
      </w:r>
      <w:r w:rsidRPr="001E2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Здание имеет следующие параметры:</w:t>
      </w:r>
    </w:p>
    <w:p w:rsidR="0056707C" w:rsidRPr="001E2E30" w:rsidRDefault="0056707C" w:rsidP="0056707C">
      <w:pPr>
        <w:pStyle w:val="a3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Адрес;</w:t>
      </w:r>
    </w:p>
    <w:p w:rsidR="00574C58" w:rsidRPr="001E2E30" w:rsidRDefault="00574C58" w:rsidP="0056707C">
      <w:pPr>
        <w:pStyle w:val="a3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Признак «Многоквартирный дом» - признак определяющий, что здание является многоквартирным домом или отдельно стоящим зданием.</w:t>
      </w:r>
    </w:p>
    <w:p w:rsidR="0056707C" w:rsidRPr="001E2E30" w:rsidRDefault="0056707C" w:rsidP="0056707C">
      <w:pPr>
        <w:pStyle w:val="a3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Состав объектов;</w:t>
      </w:r>
    </w:p>
    <w:p w:rsidR="0056707C" w:rsidRPr="001E2E30" w:rsidRDefault="0056707C" w:rsidP="0056707C">
      <w:pPr>
        <w:pStyle w:val="a3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Набор параметров, определяющих распределение способ распределения общих объемов по услугам (например, общая площадь (объем), общее количество проживающих и т.д. - рассчитываются по данным всех включенных объектов);</w:t>
      </w:r>
    </w:p>
    <w:p w:rsidR="0056707C" w:rsidRPr="001E2E30" w:rsidRDefault="0056707C" w:rsidP="0056707C">
      <w:pPr>
        <w:pStyle w:val="a3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Действующие услуги;</w:t>
      </w:r>
    </w:p>
    <w:p w:rsidR="0056707C" w:rsidRPr="001E2E30" w:rsidRDefault="0056707C" w:rsidP="0056707C">
      <w:pPr>
        <w:pStyle w:val="a3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Прибор учета (один или несколько);</w:t>
      </w:r>
    </w:p>
    <w:p w:rsidR="0056707C" w:rsidRPr="001E2E30" w:rsidRDefault="0056707C" w:rsidP="0056707C">
      <w:pPr>
        <w:pStyle w:val="a3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Способ распределения фактических объемов по услугам</w:t>
      </w:r>
      <w:r w:rsidR="00A30B24" w:rsidRPr="001E2E30">
        <w:rPr>
          <w:rFonts w:ascii="Times New Roman" w:hAnsi="Times New Roman" w:cs="Times New Roman"/>
          <w:sz w:val="24"/>
          <w:szCs w:val="24"/>
        </w:rPr>
        <w:t xml:space="preserve"> (подробнее распределение объемов по зданиям расписано в методике начислений)</w:t>
      </w:r>
      <w:r w:rsidRPr="001E2E30">
        <w:rPr>
          <w:rFonts w:ascii="Times New Roman" w:hAnsi="Times New Roman" w:cs="Times New Roman"/>
          <w:sz w:val="24"/>
          <w:szCs w:val="24"/>
        </w:rPr>
        <w:t>:</w:t>
      </w:r>
    </w:p>
    <w:p w:rsidR="0056707C" w:rsidRPr="001E2E30" w:rsidRDefault="0056707C" w:rsidP="0056707C">
      <w:pPr>
        <w:pStyle w:val="a3"/>
        <w:numPr>
          <w:ilvl w:val="1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в процентном соотношении, определенном в соглашении всех собственников;</w:t>
      </w:r>
    </w:p>
    <w:p w:rsidR="0056707C" w:rsidRPr="001E2E30" w:rsidRDefault="0056707C" w:rsidP="0056707C">
      <w:pPr>
        <w:pStyle w:val="a3"/>
        <w:numPr>
          <w:ilvl w:val="1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E30">
        <w:rPr>
          <w:rFonts w:ascii="Times New Roman" w:hAnsi="Times New Roman" w:cs="Times New Roman"/>
          <w:sz w:val="24"/>
          <w:szCs w:val="24"/>
        </w:rPr>
        <w:t xml:space="preserve"> параметру (например количество проживающий, площадь, объем помещения и др.).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В случае если у здания есть </w:t>
      </w:r>
      <w:r w:rsidR="00574C58" w:rsidRPr="001E2E30">
        <w:rPr>
          <w:rFonts w:ascii="Times New Roman" w:hAnsi="Times New Roman" w:cs="Times New Roman"/>
          <w:sz w:val="24"/>
          <w:szCs w:val="24"/>
        </w:rPr>
        <w:t>коллективный (общедомовой)</w:t>
      </w:r>
      <w:r w:rsidRPr="001E2E30">
        <w:rPr>
          <w:rFonts w:ascii="Times New Roman" w:hAnsi="Times New Roman" w:cs="Times New Roman"/>
          <w:sz w:val="24"/>
          <w:szCs w:val="24"/>
        </w:rPr>
        <w:t xml:space="preserve"> прибор учета, а у объектов индивидуальных приборов учета нет – объем общего прибора распределяется согласно способу распределения пропорционально по объектам (Рисунок).</w:t>
      </w:r>
    </w:p>
    <w:p w:rsidR="0056707C" w:rsidRPr="001E2E30" w:rsidRDefault="0056707C" w:rsidP="0056707C">
      <w:pPr>
        <w:keepNext/>
        <w:spacing w:after="0" w:line="360" w:lineRule="auto"/>
        <w:jc w:val="center"/>
        <w:rPr>
          <w:sz w:val="24"/>
          <w:szCs w:val="24"/>
        </w:rPr>
      </w:pPr>
      <w:r w:rsidRPr="001E2E30">
        <w:rPr>
          <w:sz w:val="24"/>
          <w:szCs w:val="24"/>
        </w:rPr>
        <w:object w:dxaOrig="16416" w:dyaOrig="9612">
          <v:shape id="_x0000_i1028" type="#_x0000_t75" style="width:466.8pt;height:206.4pt" o:ole="">
            <v:imagedata r:id="rId14" o:title="" cropbottom="16225f"/>
          </v:shape>
          <o:OLEObject Type="Embed" ProgID="Visio.Drawing.11" ShapeID="_x0000_i1028" DrawAspect="Content" ObjectID="_1502100552" r:id="rId15"/>
        </w:object>
      </w:r>
    </w:p>
    <w:p w:rsidR="0056707C" w:rsidRPr="001E2E30" w:rsidRDefault="0056707C" w:rsidP="0056707C">
      <w:pPr>
        <w:pStyle w:val="a4"/>
        <w:spacing w:after="0" w:line="360" w:lineRule="auto"/>
        <w:rPr>
          <w:color w:val="auto"/>
          <w:sz w:val="24"/>
          <w:szCs w:val="24"/>
        </w:rPr>
      </w:pPr>
      <w:r w:rsidRPr="001E2E30">
        <w:rPr>
          <w:color w:val="auto"/>
          <w:sz w:val="24"/>
          <w:szCs w:val="24"/>
        </w:rPr>
        <w:t xml:space="preserve">Рисунок </w:t>
      </w:r>
      <w:r w:rsidRPr="001E2E30">
        <w:rPr>
          <w:color w:val="auto"/>
          <w:sz w:val="24"/>
          <w:szCs w:val="24"/>
        </w:rPr>
        <w:fldChar w:fldCharType="begin"/>
      </w:r>
      <w:r w:rsidRPr="001E2E30">
        <w:rPr>
          <w:color w:val="auto"/>
          <w:sz w:val="24"/>
          <w:szCs w:val="24"/>
        </w:rPr>
        <w:instrText xml:space="preserve"> SEQ Рисунок \* ARABIC </w:instrText>
      </w:r>
      <w:r w:rsidRPr="001E2E30">
        <w:rPr>
          <w:color w:val="auto"/>
          <w:sz w:val="24"/>
          <w:szCs w:val="24"/>
        </w:rPr>
        <w:fldChar w:fldCharType="separate"/>
      </w:r>
      <w:r w:rsidRPr="001E2E30">
        <w:rPr>
          <w:noProof/>
          <w:color w:val="auto"/>
          <w:sz w:val="24"/>
          <w:szCs w:val="24"/>
        </w:rPr>
        <w:t>3</w:t>
      </w:r>
      <w:r w:rsidRPr="001E2E30">
        <w:rPr>
          <w:noProof/>
          <w:color w:val="auto"/>
          <w:sz w:val="24"/>
          <w:szCs w:val="24"/>
        </w:rPr>
        <w:fldChar w:fldCharType="end"/>
      </w:r>
      <w:r w:rsidRPr="001E2E30">
        <w:rPr>
          <w:color w:val="auto"/>
          <w:sz w:val="24"/>
          <w:szCs w:val="24"/>
        </w:rPr>
        <w:t xml:space="preserve"> - Распределение фактического потребления</w:t>
      </w:r>
      <w:r w:rsidRPr="001E2E30">
        <w:rPr>
          <w:noProof/>
          <w:color w:val="auto"/>
          <w:sz w:val="24"/>
          <w:szCs w:val="24"/>
        </w:rPr>
        <w:t xml:space="preserve"> в разрезе зданий</w:t>
      </w:r>
    </w:p>
    <w:p w:rsidR="0056707C" w:rsidRPr="001E2E30" w:rsidRDefault="0056707C" w:rsidP="005670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lastRenderedPageBreak/>
        <w:t xml:space="preserve">Если же у здания есть </w:t>
      </w:r>
      <w:r w:rsidR="00574C58" w:rsidRPr="001E2E30">
        <w:rPr>
          <w:rFonts w:ascii="Times New Roman" w:hAnsi="Times New Roman" w:cs="Times New Roman"/>
          <w:sz w:val="24"/>
          <w:szCs w:val="24"/>
        </w:rPr>
        <w:t xml:space="preserve">коллективный (общедомовой) </w:t>
      </w:r>
      <w:r w:rsidRPr="001E2E30">
        <w:rPr>
          <w:rFonts w:ascii="Times New Roman" w:hAnsi="Times New Roman" w:cs="Times New Roman"/>
          <w:sz w:val="24"/>
          <w:szCs w:val="24"/>
        </w:rPr>
        <w:t>прибор учета, а у объектов установлены индивидуальные приборы учета от начислений по общему прибору учета отнимаются начисления по индивидуальны приборам учета (если индивидуальный прибор учета есть не у всех – по тем объектам где его нет производится начисление по нормативу), а разница распределяется по объектам согласно способу распределения (Рисунок 4).</w:t>
      </w:r>
    </w:p>
    <w:p w:rsidR="0056707C" w:rsidRPr="001E2E30" w:rsidRDefault="0056707C" w:rsidP="0056707C">
      <w:pPr>
        <w:keepNext/>
        <w:spacing w:after="0" w:line="360" w:lineRule="auto"/>
        <w:jc w:val="center"/>
        <w:rPr>
          <w:sz w:val="24"/>
          <w:szCs w:val="24"/>
        </w:rPr>
      </w:pPr>
      <w:r w:rsidRPr="001E2E30">
        <w:rPr>
          <w:sz w:val="24"/>
          <w:szCs w:val="24"/>
        </w:rPr>
        <w:object w:dxaOrig="16416" w:dyaOrig="9612">
          <v:shape id="_x0000_i1029" type="#_x0000_t75" style="width:466.8pt;height:206.4pt" o:ole="">
            <v:imagedata r:id="rId16" o:title="" cropbottom="15961f"/>
          </v:shape>
          <o:OLEObject Type="Embed" ProgID="Visio.Drawing.11" ShapeID="_x0000_i1029" DrawAspect="Content" ObjectID="_1502100553" r:id="rId17"/>
        </w:object>
      </w:r>
    </w:p>
    <w:p w:rsidR="0056707C" w:rsidRPr="001E2E30" w:rsidRDefault="0056707C" w:rsidP="0056707C">
      <w:pPr>
        <w:pStyle w:val="a4"/>
        <w:spacing w:after="0" w:line="360" w:lineRule="auto"/>
        <w:rPr>
          <w:color w:val="auto"/>
          <w:sz w:val="24"/>
          <w:szCs w:val="24"/>
        </w:rPr>
      </w:pPr>
      <w:r w:rsidRPr="001E2E30">
        <w:rPr>
          <w:color w:val="auto"/>
          <w:sz w:val="24"/>
          <w:szCs w:val="24"/>
        </w:rPr>
        <w:t xml:space="preserve">Рисунок </w:t>
      </w:r>
      <w:r w:rsidRPr="001E2E30">
        <w:rPr>
          <w:color w:val="auto"/>
          <w:sz w:val="24"/>
          <w:szCs w:val="24"/>
        </w:rPr>
        <w:fldChar w:fldCharType="begin"/>
      </w:r>
      <w:r w:rsidRPr="001E2E30">
        <w:rPr>
          <w:color w:val="auto"/>
          <w:sz w:val="24"/>
          <w:szCs w:val="24"/>
        </w:rPr>
        <w:instrText xml:space="preserve"> SEQ Рисунок \* ARABIC </w:instrText>
      </w:r>
      <w:r w:rsidRPr="001E2E30">
        <w:rPr>
          <w:color w:val="auto"/>
          <w:sz w:val="24"/>
          <w:szCs w:val="24"/>
        </w:rPr>
        <w:fldChar w:fldCharType="separate"/>
      </w:r>
      <w:r w:rsidRPr="001E2E30">
        <w:rPr>
          <w:noProof/>
          <w:color w:val="auto"/>
          <w:sz w:val="24"/>
          <w:szCs w:val="24"/>
        </w:rPr>
        <w:t>4</w:t>
      </w:r>
      <w:r w:rsidRPr="001E2E30">
        <w:rPr>
          <w:noProof/>
          <w:color w:val="auto"/>
          <w:sz w:val="24"/>
          <w:szCs w:val="24"/>
        </w:rPr>
        <w:fldChar w:fldCharType="end"/>
      </w:r>
      <w:r w:rsidRPr="001E2E30">
        <w:rPr>
          <w:color w:val="auto"/>
          <w:sz w:val="24"/>
          <w:szCs w:val="24"/>
        </w:rPr>
        <w:t xml:space="preserve"> - Распределение фактического потребления</w:t>
      </w:r>
      <w:r w:rsidRPr="001E2E30">
        <w:rPr>
          <w:noProof/>
          <w:color w:val="auto"/>
          <w:sz w:val="24"/>
          <w:szCs w:val="24"/>
        </w:rPr>
        <w:t xml:space="preserve"> в разрезе зданий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В случае, если участок тепловой сети включает в себя группу объектов (зданий), причем некоторые из этих объектов не имеют непосредственного доступа к тепловым сетям и подключение осуществляется через другой объект (здание) возникает понятие субабонентов. Под «</w:t>
      </w:r>
      <w:proofErr w:type="spellStart"/>
      <w:r w:rsidRPr="001E2E30">
        <w:rPr>
          <w:rFonts w:ascii="Times New Roman" w:hAnsi="Times New Roman" w:cs="Times New Roman"/>
          <w:b/>
          <w:sz w:val="24"/>
          <w:szCs w:val="24"/>
        </w:rPr>
        <w:t>Субабонентом</w:t>
      </w:r>
      <w:proofErr w:type="spellEnd"/>
      <w:r w:rsidRPr="001E2E30">
        <w:rPr>
          <w:rFonts w:ascii="Times New Roman" w:hAnsi="Times New Roman" w:cs="Times New Roman"/>
          <w:sz w:val="24"/>
          <w:szCs w:val="24"/>
        </w:rPr>
        <w:t xml:space="preserve">» понимается лицо, физически получающее энергию через энергоустановки или тепловые сети объекта (здания), в свою очередь непосредственно присоединенного к тепловым сетям ТСО.  На рисунке 5 здания 2 и 3 являются </w:t>
      </w:r>
      <w:proofErr w:type="spellStart"/>
      <w:r w:rsidRPr="001E2E30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Pr="001E2E30">
        <w:rPr>
          <w:rFonts w:ascii="Times New Roman" w:hAnsi="Times New Roman" w:cs="Times New Roman"/>
          <w:sz w:val="24"/>
          <w:szCs w:val="24"/>
        </w:rPr>
        <w:t>.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При начислении сначала должны быть рассчитаны здания 2 и 3 (произведены начисления по прибору учета и по нормативу соответственно), только после этого будет произведено начисление зданию 1. Для здания 1 будет произведен следующий расчет:</w:t>
      </w:r>
    </w:p>
    <w:p w:rsidR="0056707C" w:rsidRPr="001E2E30" w:rsidRDefault="0056707C" w:rsidP="0056707C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начисления по показаниям прибора учета здания 1;</w:t>
      </w:r>
    </w:p>
    <w:p w:rsidR="0056707C" w:rsidRPr="001E2E30" w:rsidRDefault="0056707C" w:rsidP="0056707C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от начислений по показаниям прибора учета здания 1 отнимается сумма начислений по нормативу здания 3 и начислений по показаниям прибора учета здания 2.</w:t>
      </w:r>
    </w:p>
    <w:p w:rsidR="0056707C" w:rsidRPr="001E2E30" w:rsidRDefault="0056707C" w:rsidP="0056707C">
      <w:pPr>
        <w:pStyle w:val="a3"/>
        <w:keepNext/>
        <w:spacing w:after="0" w:line="360" w:lineRule="auto"/>
        <w:ind w:left="0"/>
        <w:jc w:val="center"/>
        <w:rPr>
          <w:sz w:val="24"/>
          <w:szCs w:val="24"/>
        </w:rPr>
      </w:pPr>
      <w:r w:rsidRPr="001E2E30">
        <w:rPr>
          <w:sz w:val="24"/>
          <w:szCs w:val="24"/>
        </w:rPr>
        <w:object w:dxaOrig="7444" w:dyaOrig="5906">
          <v:shape id="_x0000_i1030" type="#_x0000_t75" style="width:372pt;height:295.8pt" o:ole="">
            <v:imagedata r:id="rId18" o:title=""/>
          </v:shape>
          <o:OLEObject Type="Embed" ProgID="Visio.Drawing.11" ShapeID="_x0000_i1030" DrawAspect="Content" ObjectID="_1502100554" r:id="rId19"/>
        </w:object>
      </w:r>
    </w:p>
    <w:p w:rsidR="0056707C" w:rsidRPr="001E2E30" w:rsidRDefault="0056707C" w:rsidP="0056707C">
      <w:pPr>
        <w:pStyle w:val="a4"/>
        <w:spacing w:after="0" w:line="360" w:lineRule="auto"/>
        <w:jc w:val="center"/>
        <w:rPr>
          <w:color w:val="auto"/>
          <w:sz w:val="24"/>
          <w:szCs w:val="24"/>
        </w:rPr>
      </w:pPr>
      <w:r w:rsidRPr="001E2E30">
        <w:rPr>
          <w:color w:val="auto"/>
          <w:sz w:val="24"/>
          <w:szCs w:val="24"/>
        </w:rPr>
        <w:t xml:space="preserve">Рисунок </w:t>
      </w:r>
      <w:r w:rsidRPr="001E2E30">
        <w:rPr>
          <w:color w:val="auto"/>
          <w:sz w:val="24"/>
          <w:szCs w:val="24"/>
        </w:rPr>
        <w:fldChar w:fldCharType="begin"/>
      </w:r>
      <w:r w:rsidRPr="001E2E30">
        <w:rPr>
          <w:color w:val="auto"/>
          <w:sz w:val="24"/>
          <w:szCs w:val="24"/>
        </w:rPr>
        <w:instrText xml:space="preserve"> SEQ Рисунок \* ARABIC </w:instrText>
      </w:r>
      <w:r w:rsidRPr="001E2E30">
        <w:rPr>
          <w:color w:val="auto"/>
          <w:sz w:val="24"/>
          <w:szCs w:val="24"/>
        </w:rPr>
        <w:fldChar w:fldCharType="separate"/>
      </w:r>
      <w:r w:rsidRPr="001E2E30">
        <w:rPr>
          <w:noProof/>
          <w:color w:val="auto"/>
          <w:sz w:val="24"/>
          <w:szCs w:val="24"/>
        </w:rPr>
        <w:t>5</w:t>
      </w:r>
      <w:r w:rsidRPr="001E2E30">
        <w:rPr>
          <w:noProof/>
          <w:color w:val="auto"/>
          <w:sz w:val="24"/>
          <w:szCs w:val="24"/>
        </w:rPr>
        <w:fldChar w:fldCharType="end"/>
      </w:r>
      <w:r w:rsidRPr="001E2E30">
        <w:rPr>
          <w:color w:val="auto"/>
          <w:sz w:val="24"/>
          <w:szCs w:val="24"/>
        </w:rPr>
        <w:t xml:space="preserve"> - Схема подключения субабонентов</w:t>
      </w:r>
    </w:p>
    <w:p w:rsidR="0056707C" w:rsidRPr="001E2E30" w:rsidRDefault="0056707C" w:rsidP="00567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sz w:val="24"/>
          <w:szCs w:val="24"/>
        </w:rPr>
        <w:t>Учет всех начислений ведется в разрезе</w:t>
      </w:r>
      <w:r w:rsidRPr="001E2E30">
        <w:rPr>
          <w:rFonts w:ascii="Times New Roman" w:hAnsi="Times New Roman" w:cs="Times New Roman"/>
          <w:b/>
          <w:sz w:val="24"/>
          <w:szCs w:val="24"/>
        </w:rPr>
        <w:t xml:space="preserve"> котельных</w:t>
      </w:r>
      <w:r w:rsidRPr="001E2E30">
        <w:rPr>
          <w:rFonts w:ascii="Times New Roman" w:hAnsi="Times New Roman" w:cs="Times New Roman"/>
          <w:sz w:val="24"/>
          <w:szCs w:val="24"/>
        </w:rPr>
        <w:t xml:space="preserve">. Для котельных предусмотрено ведение Графика работы котельных, к котором заполняются периоды плановых отключений по котельным. Также предусмотрен механизм перевода объектов, подключенных к отключаемой котельной на обслуживание резервной котельной, при этом начисления </w:t>
      </w:r>
      <w:proofErr w:type="spellStart"/>
      <w:r w:rsidRPr="001E2E30">
        <w:rPr>
          <w:rFonts w:ascii="Times New Roman" w:hAnsi="Times New Roman" w:cs="Times New Roman"/>
          <w:sz w:val="24"/>
          <w:szCs w:val="24"/>
        </w:rPr>
        <w:t>переподключенных</w:t>
      </w:r>
      <w:proofErr w:type="spellEnd"/>
      <w:r w:rsidRPr="001E2E30">
        <w:rPr>
          <w:rFonts w:ascii="Times New Roman" w:hAnsi="Times New Roman" w:cs="Times New Roman"/>
          <w:sz w:val="24"/>
          <w:szCs w:val="24"/>
        </w:rPr>
        <w:t xml:space="preserve"> объектов будут учитываться на резервной котельной.</w:t>
      </w:r>
    </w:p>
    <w:p w:rsidR="0056707C" w:rsidRPr="00187E6B" w:rsidRDefault="0056707C" w:rsidP="00B26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30">
        <w:rPr>
          <w:rFonts w:ascii="Times New Roman" w:hAnsi="Times New Roman" w:cs="Times New Roman"/>
          <w:sz w:val="24"/>
          <w:szCs w:val="24"/>
        </w:rPr>
        <w:t>На случай аварийного прекращения подачи услуги предусмотрен механизм учета временных отключений объектов, который корректирует не только фактическое потребление объектов (на случай, если у объекта нет прибора учета), но и исключение периода прекращения подачи услуги из плановых начислений по объекту</w:t>
      </w:r>
      <w:r w:rsidRPr="00187E6B">
        <w:rPr>
          <w:rFonts w:ascii="Times New Roman" w:hAnsi="Times New Roman" w:cs="Times New Roman"/>
          <w:sz w:val="28"/>
          <w:szCs w:val="28"/>
        </w:rPr>
        <w:t>.</w:t>
      </w:r>
    </w:p>
    <w:p w:rsidR="0056707C" w:rsidRPr="00187E6B" w:rsidRDefault="0056707C" w:rsidP="0056707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707C" w:rsidRPr="007E50D4" w:rsidRDefault="006A6224" w:rsidP="00567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7E50D4">
        <w:rPr>
          <w:rFonts w:ascii="Times New Roman" w:hAnsi="Times New Roman" w:cs="Times New Roman"/>
          <w:sz w:val="24"/>
          <w:szCs w:val="24"/>
        </w:rPr>
        <w:t>Таким образом, состав данных по абоненту (абонентской карточки) состоит из:</w:t>
      </w:r>
    </w:p>
    <w:p w:rsidR="006A6224" w:rsidRDefault="006A6224" w:rsidP="006A6224">
      <w:pPr>
        <w:pStyle w:val="a3"/>
        <w:numPr>
          <w:ilvl w:val="0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62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Контрагент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содержит </w:t>
      </w:r>
    </w:p>
    <w:p w:rsid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Наименование</w:t>
      </w:r>
    </w:p>
    <w:p w:rsid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ИНН, КПП, </w:t>
      </w:r>
    </w:p>
    <w:p w:rsid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юридический и фактический адрес,</w:t>
      </w:r>
    </w:p>
    <w:p w:rsid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банковские реквизиты.</w:t>
      </w:r>
    </w:p>
    <w:p w:rsid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Форма собственности (региональный,федеральный, местный)</w:t>
      </w:r>
    </w:p>
    <w:p w:rsidR="006A6224" w:rsidRDefault="006A6224" w:rsidP="006A6224">
      <w:pPr>
        <w:pStyle w:val="a3"/>
        <w:ind w:left="144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6224" w:rsidRPr="006A6224" w:rsidRDefault="006A6224" w:rsidP="006A622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A62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Договоры контрагента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оди</w:t>
      </w:r>
      <w:r w:rsidR="0024761F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несколько договор, заключенных с теплосетью, в который указаны данные об:</w:t>
      </w:r>
    </w:p>
    <w:p w:rsid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Номер и дата договора</w:t>
      </w:r>
    </w:p>
    <w:p w:rsidR="006A6224" w:rsidRP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Объектах (помещениях)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адрес</w:t>
      </w:r>
      <w:r w:rsid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помещения</w:t>
      </w:r>
    </w:p>
    <w:p w:rsidR="006A6224" w:rsidRP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Услуги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услуги (отопление, подогрев, подача, потери)</w:t>
      </w:r>
      <w:r w:rsidR="001E2E30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потребляемые объектами</w:t>
      </w:r>
    </w:p>
    <w:p w:rsidR="006A6224" w:rsidRDefault="006A6224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Параметры расчетов плановых нагрузок</w:t>
      </w:r>
      <w:r w:rsidR="001E2E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(</w:t>
      </w:r>
      <w:r w:rsidR="001E2E30">
        <w:rPr>
          <w:rFonts w:ascii="Times New Roman" w:hAnsi="Times New Roman" w:cs="Times New Roman"/>
          <w:noProof/>
          <w:sz w:val="24"/>
          <w:szCs w:val="24"/>
          <w:lang w:eastAsia="ru-RU"/>
        </w:rPr>
        <w:t>перечислены выше)</w:t>
      </w:r>
    </w:p>
    <w:p w:rsidR="006A6224" w:rsidRPr="005259CF" w:rsidRDefault="001E2E30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Помесячные планы потребления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расписан каждый календартный месяц по каждой услуге в Гкал для теплоэнергии, в кубических метрах по холодной воде</w:t>
      </w:r>
    </w:p>
    <w:p w:rsidR="005259CF" w:rsidRPr="001E2E30" w:rsidRDefault="005259CF" w:rsidP="006A6224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Договоры субанентов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услугам</w:t>
      </w:r>
    </w:p>
    <w:p w:rsidR="001E2E30" w:rsidRPr="001E2E30" w:rsidRDefault="001E2E30" w:rsidP="001E2E3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Объекты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помещения, принадлежащие конкретным организациям, в которых производится потребление услуг</w:t>
      </w:r>
    </w:p>
    <w:p w:rsid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Адрес объекта</w:t>
      </w:r>
    </w:p>
    <w:p w:rsidR="001E2E30" w:rsidRPr="004C4F2F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если объект входит в состав здания</w:t>
      </w:r>
    </w:p>
    <w:p w:rsidR="004C4F2F" w:rsidRPr="001E2E30" w:rsidRDefault="004C4F2F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Котельная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котельная (по услуге), к которой подключен объект.</w:t>
      </w:r>
    </w:p>
    <w:p w:rsidR="001E2E30" w:rsidRPr="001E2E30" w:rsidRDefault="001E2E30" w:rsidP="001E2E3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Здания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здание, в котором находится сразу несколько объектов</w:t>
      </w:r>
    </w:p>
    <w:p w:rsid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Адрес</w:t>
      </w:r>
    </w:p>
    <w:p w:rsidR="001E2E30" w:rsidRP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Признак «Многоквартирный дом» 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здании проживает население и нежилые помещения(объекты)</w:t>
      </w:r>
    </w:p>
    <w:p w:rsidR="001E2E30" w:rsidRPr="001E2E30" w:rsidRDefault="001E2E30" w:rsidP="001E2E3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Оборудование (приборы учета)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измерительное и прочее оборудование</w:t>
      </w:r>
    </w:p>
    <w:p w:rsidR="001E2E30" w:rsidRP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Вид оборудование: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тепломеры, водомеры, расходомеры, теплопары и прочее</w:t>
      </w:r>
    </w:p>
    <w:p w:rsid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Заводской номер</w:t>
      </w:r>
    </w:p>
    <w:p w:rsidR="001E2E30" w:rsidRP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Номер пломбы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номер пломбы при вводе эксплуатацию</w:t>
      </w:r>
    </w:p>
    <w:p w:rsidR="001E2E30" w:rsidRP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Дата поверки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очередной поверки</w:t>
      </w:r>
    </w:p>
    <w:p w:rsidR="001E2E30" w:rsidRP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Здание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указывается здание в случае, если оборудование относится к общедомовому имуществу, например, общедомовой прибор учета</w:t>
      </w:r>
    </w:p>
    <w:p w:rsidR="001E2E30" w:rsidRDefault="001E2E30" w:rsidP="001E2E3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Места установки (вводы) оборудование</w:t>
      </w:r>
    </w:p>
    <w:p w:rsidR="001E2E30" w:rsidRDefault="001E2E30" w:rsidP="001E2E30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Владелец 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объект или здание</w:t>
      </w:r>
    </w:p>
    <w:p w:rsidR="00241B1E" w:rsidRDefault="001E2E30" w:rsidP="00B94FA8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E2E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Наименование места</w:t>
      </w:r>
      <w:r w:rsidR="006A6224" w:rsidRPr="001E2E30">
        <w:rPr>
          <w:rFonts w:ascii="Times New Roman" w:hAnsi="Times New Roman" w:cs="Times New Roman"/>
          <w:sz w:val="24"/>
          <w:szCs w:val="24"/>
        </w:rPr>
        <w:tab/>
      </w:r>
    </w:p>
    <w:p w:rsidR="007C56AC" w:rsidRDefault="007C56AC" w:rsidP="007C56AC">
      <w:pPr>
        <w:rPr>
          <w:rFonts w:ascii="Times New Roman" w:hAnsi="Times New Roman" w:cs="Times New Roman"/>
          <w:sz w:val="24"/>
          <w:szCs w:val="24"/>
        </w:rPr>
      </w:pPr>
    </w:p>
    <w:p w:rsidR="007C56AC" w:rsidRDefault="007C56AC" w:rsidP="007C56AC">
      <w:pPr>
        <w:rPr>
          <w:rFonts w:ascii="Times New Roman" w:hAnsi="Times New Roman" w:cs="Times New Roman"/>
          <w:sz w:val="24"/>
          <w:szCs w:val="24"/>
        </w:rPr>
      </w:pPr>
    </w:p>
    <w:p w:rsidR="007C56AC" w:rsidRPr="007C56AC" w:rsidRDefault="007C56AC" w:rsidP="007C56AC">
      <w:pPr>
        <w:rPr>
          <w:rFonts w:ascii="Times New Roman" w:hAnsi="Times New Roman" w:cs="Times New Roman"/>
          <w:b/>
          <w:sz w:val="24"/>
          <w:szCs w:val="24"/>
        </w:rPr>
      </w:pPr>
      <w:r w:rsidRPr="007C56AC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C56AC" w:rsidRDefault="007C56AC" w:rsidP="007C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Исполнителя ООО «Бизнес ИТ»</w:t>
      </w:r>
    </w:p>
    <w:p w:rsidR="007C56AC" w:rsidRDefault="007C56AC" w:rsidP="007C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7C56AC" w:rsidRDefault="007C56AC" w:rsidP="007C56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7C56AC" w:rsidRDefault="007C56AC" w:rsidP="007C56AC">
      <w:pPr>
        <w:rPr>
          <w:rFonts w:ascii="Times New Roman" w:hAnsi="Times New Roman" w:cs="Times New Roman"/>
          <w:sz w:val="16"/>
          <w:szCs w:val="16"/>
        </w:rPr>
      </w:pPr>
    </w:p>
    <w:p w:rsidR="007C56AC" w:rsidRDefault="007C56AC" w:rsidP="007C56AC">
      <w:pPr>
        <w:rPr>
          <w:rFonts w:ascii="Times New Roman" w:hAnsi="Times New Roman" w:cs="Times New Roman"/>
          <w:sz w:val="16"/>
          <w:szCs w:val="16"/>
        </w:rPr>
      </w:pPr>
    </w:p>
    <w:p w:rsidR="007C56AC" w:rsidRDefault="007C56AC" w:rsidP="007C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Заказчика </w:t>
      </w:r>
    </w:p>
    <w:p w:rsidR="007C56AC" w:rsidRDefault="007C56AC" w:rsidP="007C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7C56AC" w:rsidRPr="007C56AC" w:rsidRDefault="007C56AC" w:rsidP="007C56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7C56AC" w:rsidRPr="007C56AC" w:rsidRDefault="007C56AC" w:rsidP="007C56AC">
      <w:pPr>
        <w:rPr>
          <w:rFonts w:ascii="Times New Roman" w:hAnsi="Times New Roman" w:cs="Times New Roman"/>
          <w:sz w:val="16"/>
          <w:szCs w:val="16"/>
        </w:rPr>
      </w:pPr>
    </w:p>
    <w:sectPr w:rsidR="007C56AC" w:rsidRPr="007C56A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5D" w:rsidRDefault="009D1D5D" w:rsidP="00CA343C">
      <w:pPr>
        <w:spacing w:after="0" w:line="240" w:lineRule="auto"/>
      </w:pPr>
      <w:r>
        <w:separator/>
      </w:r>
    </w:p>
  </w:endnote>
  <w:endnote w:type="continuationSeparator" w:id="0">
    <w:p w:rsidR="009D1D5D" w:rsidRDefault="009D1D5D" w:rsidP="00CA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21969"/>
      <w:docPartObj>
        <w:docPartGallery w:val="Page Numbers (Bottom of Page)"/>
        <w:docPartUnique/>
      </w:docPartObj>
    </w:sdtPr>
    <w:sdtEndPr/>
    <w:sdtContent>
      <w:p w:rsidR="00CA343C" w:rsidRDefault="00CA34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1F">
          <w:rPr>
            <w:noProof/>
          </w:rPr>
          <w:t>9</w:t>
        </w:r>
        <w:r>
          <w:fldChar w:fldCharType="end"/>
        </w:r>
      </w:p>
    </w:sdtContent>
  </w:sdt>
  <w:p w:rsidR="00CA343C" w:rsidRDefault="00CA34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5D" w:rsidRDefault="009D1D5D" w:rsidP="00CA343C">
      <w:pPr>
        <w:spacing w:after="0" w:line="240" w:lineRule="auto"/>
      </w:pPr>
      <w:r>
        <w:separator/>
      </w:r>
    </w:p>
  </w:footnote>
  <w:footnote w:type="continuationSeparator" w:id="0">
    <w:p w:rsidR="009D1D5D" w:rsidRDefault="009D1D5D" w:rsidP="00CA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145"/>
    <w:multiLevelType w:val="hybridMultilevel"/>
    <w:tmpl w:val="B30E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0FD"/>
    <w:multiLevelType w:val="hybridMultilevel"/>
    <w:tmpl w:val="469881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932838"/>
    <w:multiLevelType w:val="hybridMultilevel"/>
    <w:tmpl w:val="63B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B87"/>
    <w:multiLevelType w:val="hybridMultilevel"/>
    <w:tmpl w:val="9A3EE4B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0BB124C"/>
    <w:multiLevelType w:val="hybridMultilevel"/>
    <w:tmpl w:val="58A8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FDD"/>
    <w:multiLevelType w:val="hybridMultilevel"/>
    <w:tmpl w:val="11CC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2F3E"/>
    <w:multiLevelType w:val="hybridMultilevel"/>
    <w:tmpl w:val="13AA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17D33"/>
    <w:multiLevelType w:val="hybridMultilevel"/>
    <w:tmpl w:val="E234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46B4"/>
    <w:multiLevelType w:val="hybridMultilevel"/>
    <w:tmpl w:val="53E6FF82"/>
    <w:lvl w:ilvl="0" w:tplc="041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40857B1C"/>
    <w:multiLevelType w:val="hybridMultilevel"/>
    <w:tmpl w:val="4BC0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0125D"/>
    <w:multiLevelType w:val="hybridMultilevel"/>
    <w:tmpl w:val="00C6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F6705"/>
    <w:multiLevelType w:val="hybridMultilevel"/>
    <w:tmpl w:val="EE98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D22"/>
    <w:multiLevelType w:val="hybridMultilevel"/>
    <w:tmpl w:val="9E24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60D2"/>
    <w:multiLevelType w:val="hybridMultilevel"/>
    <w:tmpl w:val="AABA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40244"/>
    <w:multiLevelType w:val="hybridMultilevel"/>
    <w:tmpl w:val="46D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B55F1"/>
    <w:multiLevelType w:val="hybridMultilevel"/>
    <w:tmpl w:val="B2502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6A483C"/>
    <w:multiLevelType w:val="hybridMultilevel"/>
    <w:tmpl w:val="AEF6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19"/>
    <w:rsid w:val="00024559"/>
    <w:rsid w:val="0006109F"/>
    <w:rsid w:val="000612C3"/>
    <w:rsid w:val="00084C81"/>
    <w:rsid w:val="00094A68"/>
    <w:rsid w:val="000D1780"/>
    <w:rsid w:val="00120288"/>
    <w:rsid w:val="00187E6B"/>
    <w:rsid w:val="00191AE9"/>
    <w:rsid w:val="001A3408"/>
    <w:rsid w:val="001E2E30"/>
    <w:rsid w:val="001E7DEB"/>
    <w:rsid w:val="001F740E"/>
    <w:rsid w:val="00227772"/>
    <w:rsid w:val="00241B1E"/>
    <w:rsid w:val="0024761F"/>
    <w:rsid w:val="00253E88"/>
    <w:rsid w:val="00291641"/>
    <w:rsid w:val="00311B54"/>
    <w:rsid w:val="00322AC0"/>
    <w:rsid w:val="0038284E"/>
    <w:rsid w:val="003E4A7C"/>
    <w:rsid w:val="00437CB4"/>
    <w:rsid w:val="004A02FD"/>
    <w:rsid w:val="004A67BE"/>
    <w:rsid w:val="004B7C75"/>
    <w:rsid w:val="004C4F2F"/>
    <w:rsid w:val="00516BA8"/>
    <w:rsid w:val="005259CF"/>
    <w:rsid w:val="00541C96"/>
    <w:rsid w:val="00553A50"/>
    <w:rsid w:val="00565546"/>
    <w:rsid w:val="0056707C"/>
    <w:rsid w:val="00574C58"/>
    <w:rsid w:val="0058069B"/>
    <w:rsid w:val="005A7C83"/>
    <w:rsid w:val="006039AA"/>
    <w:rsid w:val="0064281D"/>
    <w:rsid w:val="00646BB5"/>
    <w:rsid w:val="006A6224"/>
    <w:rsid w:val="00717071"/>
    <w:rsid w:val="007201FF"/>
    <w:rsid w:val="007309E5"/>
    <w:rsid w:val="007C56AC"/>
    <w:rsid w:val="007E50D4"/>
    <w:rsid w:val="007F690E"/>
    <w:rsid w:val="00802CEA"/>
    <w:rsid w:val="0084623E"/>
    <w:rsid w:val="008462AB"/>
    <w:rsid w:val="0085647D"/>
    <w:rsid w:val="0086091B"/>
    <w:rsid w:val="008923B9"/>
    <w:rsid w:val="008B5279"/>
    <w:rsid w:val="008C1C19"/>
    <w:rsid w:val="00914D9A"/>
    <w:rsid w:val="00944D2C"/>
    <w:rsid w:val="009C5D86"/>
    <w:rsid w:val="009D1D5D"/>
    <w:rsid w:val="009F5353"/>
    <w:rsid w:val="00A30B24"/>
    <w:rsid w:val="00A37CDE"/>
    <w:rsid w:val="00AA40A4"/>
    <w:rsid w:val="00B03281"/>
    <w:rsid w:val="00B2698B"/>
    <w:rsid w:val="00B3243E"/>
    <w:rsid w:val="00B442CF"/>
    <w:rsid w:val="00BB614F"/>
    <w:rsid w:val="00BC3302"/>
    <w:rsid w:val="00BC4AE4"/>
    <w:rsid w:val="00BE23B6"/>
    <w:rsid w:val="00BE72FE"/>
    <w:rsid w:val="00CA343C"/>
    <w:rsid w:val="00CF0BD5"/>
    <w:rsid w:val="00CF2B59"/>
    <w:rsid w:val="00CF3EF7"/>
    <w:rsid w:val="00D052D5"/>
    <w:rsid w:val="00D05FEA"/>
    <w:rsid w:val="00D06BF2"/>
    <w:rsid w:val="00D66271"/>
    <w:rsid w:val="00D84325"/>
    <w:rsid w:val="00DD1E82"/>
    <w:rsid w:val="00E15CDA"/>
    <w:rsid w:val="00E96A7D"/>
    <w:rsid w:val="00E97EB2"/>
    <w:rsid w:val="00EB7AED"/>
    <w:rsid w:val="00F05192"/>
    <w:rsid w:val="00FB04FA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CEA8370-B129-46F7-8BB3-517228B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6BF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06BF2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E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03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06BF2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06BF2"/>
    <w:rPr>
      <w:rFonts w:ascii="Times New Roman" w:eastAsiaTheme="majorEastAsia" w:hAnsi="Times New Roman" w:cs="Times New Roman"/>
      <w:b/>
      <w:color w:val="1F4D78" w:themeColor="accent1" w:themeShade="7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6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06BF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06BF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06BF2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D06BF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07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D1E82"/>
  </w:style>
  <w:style w:type="paragraph" w:styleId="a9">
    <w:name w:val="header"/>
    <w:basedOn w:val="a"/>
    <w:link w:val="aa"/>
    <w:uiPriority w:val="99"/>
    <w:unhideWhenUsed/>
    <w:rsid w:val="00CA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343C"/>
  </w:style>
  <w:style w:type="paragraph" w:styleId="ab">
    <w:name w:val="footer"/>
    <w:basedOn w:val="a"/>
    <w:link w:val="ac"/>
    <w:uiPriority w:val="99"/>
    <w:unhideWhenUsed/>
    <w:rsid w:val="00CA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343C"/>
  </w:style>
  <w:style w:type="paragraph" w:styleId="11">
    <w:name w:val="toc 1"/>
    <w:basedOn w:val="a"/>
    <w:next w:val="a"/>
    <w:autoRedefine/>
    <w:uiPriority w:val="39"/>
    <w:unhideWhenUsed/>
    <w:rsid w:val="00CA343C"/>
    <w:pPr>
      <w:spacing w:after="100"/>
    </w:pPr>
  </w:style>
  <w:style w:type="paragraph" w:customStyle="1" w:styleId="Arial">
    <w:name w:val="Стиль Основной текст + Arial"/>
    <w:basedOn w:val="ad"/>
    <w:link w:val="Arial0"/>
    <w:autoRedefine/>
    <w:rsid w:val="0058069B"/>
    <w:pPr>
      <w:tabs>
        <w:tab w:val="left" w:pos="8222"/>
      </w:tabs>
      <w:spacing w:after="0" w:line="240" w:lineRule="auto"/>
      <w:ind w:firstLine="34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rial0">
    <w:name w:val="Стиль Основной текст + Arial Знак"/>
    <w:link w:val="Arial"/>
    <w:rsid w:val="0058069B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8069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1C36-DE52-423D-81B0-5D8D756A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А. Степаненко</dc:creator>
  <cp:keywords/>
  <dc:description/>
  <cp:lastModifiedBy>Маргарита А. Степаненко</cp:lastModifiedBy>
  <cp:revision>22</cp:revision>
  <cp:lastPrinted>2015-04-20T07:44:00Z</cp:lastPrinted>
  <dcterms:created xsi:type="dcterms:W3CDTF">2015-04-15T11:55:00Z</dcterms:created>
  <dcterms:modified xsi:type="dcterms:W3CDTF">2015-08-26T10:22:00Z</dcterms:modified>
</cp:coreProperties>
</file>